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eastAsia="方正小标宋_GBK" w:cs="仿宋_GB2312" w:hAnsiTheme="minorEastAsia"/>
          <w:sz w:val="44"/>
          <w:szCs w:val="44"/>
        </w:rPr>
      </w:pPr>
      <w:r>
        <w:rPr>
          <w:rFonts w:hint="eastAsia" w:ascii="方正小标宋_GBK" w:eastAsia="方正小标宋_GBK" w:cs="仿宋_GB2312" w:hAnsiTheme="minorEastAsia"/>
          <w:sz w:val="44"/>
          <w:szCs w:val="44"/>
        </w:rPr>
        <w:t>广西壮族自治区气象局2022年</w:t>
      </w:r>
    </w:p>
    <w:p>
      <w:pPr>
        <w:spacing w:line="540" w:lineRule="exact"/>
        <w:jc w:val="center"/>
        <w:rPr>
          <w:rFonts w:hint="eastAsia" w:ascii="方正小标宋_GBK" w:hAnsi="宋体" w:eastAsia="方正小标宋_GBK" w:cs="方正小标宋_GBK"/>
          <w:sz w:val="44"/>
          <w:szCs w:val="44"/>
        </w:rPr>
      </w:pPr>
      <w:r>
        <w:rPr>
          <w:rFonts w:hint="eastAsia" w:ascii="方正小标宋_GBK" w:eastAsia="方正小标宋_GBK" w:cs="仿宋_GB2312" w:hAnsiTheme="minorEastAsia"/>
          <w:sz w:val="44"/>
          <w:szCs w:val="44"/>
        </w:rPr>
        <w:t>政府信息公开工作年度报告</w:t>
      </w:r>
    </w:p>
    <w:p>
      <w:pPr>
        <w:spacing w:line="540" w:lineRule="exact"/>
        <w:jc w:val="center"/>
        <w:rPr>
          <w:rFonts w:hint="eastAsia" w:ascii="仿宋_GB2312" w:eastAsia="仿宋_GB2312" w:cs="方正小标宋_GBK" w:hAnsiTheme="minorEastAsia"/>
          <w:sz w:val="32"/>
          <w:szCs w:val="32"/>
        </w:rPr>
      </w:pPr>
    </w:p>
    <w:p>
      <w:pPr>
        <w:spacing w:line="540" w:lineRule="exact"/>
        <w:ind w:firstLine="640" w:firstLineChars="200"/>
        <w:rPr>
          <w:rFonts w:ascii="仿宋_GB2312" w:eastAsia="仿宋_GB2312" w:cs="仿宋_GB2312" w:hAnsiTheme="minorEastAsia"/>
          <w:spacing w:val="0"/>
          <w:sz w:val="32"/>
          <w:szCs w:val="32"/>
        </w:rPr>
      </w:pPr>
      <w:r>
        <w:rPr>
          <w:rFonts w:hint="eastAsia" w:ascii="仿宋_GB2312" w:eastAsia="仿宋_GB2312" w:cs="仿宋_GB2312" w:hAnsiTheme="minorEastAsia"/>
          <w:spacing w:val="0"/>
          <w:sz w:val="32"/>
          <w:szCs w:val="32"/>
        </w:rPr>
        <w:t>本报告是根据《中华人民共和国政府信息公开条例》要求编制。所列数据</w:t>
      </w:r>
      <w:r>
        <w:rPr>
          <w:rFonts w:hint="eastAsia" w:ascii="仿宋_GB2312" w:eastAsia="仿宋_GB2312" w:cs="仿宋_GB2312" w:hAnsiTheme="minorEastAsia"/>
          <w:spacing w:val="0"/>
          <w:sz w:val="32"/>
          <w:szCs w:val="32"/>
          <w:lang w:eastAsia="zh-CN"/>
        </w:rPr>
        <w:t>为广西壮族自治区气象局机关年度统计数据，</w:t>
      </w:r>
      <w:r>
        <w:rPr>
          <w:rFonts w:hint="eastAsia" w:ascii="仿宋_GB2312" w:eastAsia="仿宋_GB2312" w:cs="仿宋_GB2312" w:hAnsiTheme="minorEastAsia"/>
          <w:spacing w:val="0"/>
          <w:sz w:val="32"/>
          <w:szCs w:val="32"/>
        </w:rPr>
        <w:t>统计期限自2022年1月1日起至2022年12月31日止。</w:t>
      </w:r>
      <w:r>
        <w:rPr>
          <w:rFonts w:hint="eastAsia" w:ascii="仿宋_GB2312" w:eastAsia="仿宋_GB2312"/>
          <w:color w:val="auto"/>
          <w:spacing w:val="0"/>
          <w:sz w:val="32"/>
          <w:szCs w:val="32"/>
        </w:rPr>
        <w:t>报告电子版</w:t>
      </w:r>
      <w:r>
        <w:rPr>
          <w:rFonts w:hint="eastAsia" w:ascii="仿宋_GB2312" w:eastAsia="仿宋_GB2312"/>
          <w:color w:val="auto"/>
          <w:spacing w:val="0"/>
          <w:sz w:val="32"/>
          <w:szCs w:val="32"/>
          <w:lang w:eastAsia="zh-CN"/>
        </w:rPr>
        <w:t>在</w:t>
      </w:r>
      <w:r>
        <w:rPr>
          <w:rFonts w:hint="eastAsia" w:ascii="仿宋_GB2312" w:eastAsia="仿宋_GB2312" w:cs="仿宋_GB2312" w:hAnsiTheme="minorEastAsia"/>
          <w:spacing w:val="0"/>
          <w:sz w:val="32"/>
          <w:szCs w:val="32"/>
        </w:rPr>
        <w:t>“广西壮族自治区气象局政府网站”（http://gx.cma.gov.cn）上下载。如对本报告有任何疑问，请与广西壮族自治区气象局办公室联系（地址：广西壮族自治区南宁市民族大道81号；邮编：530022；电话：0771—5865673）。</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一、总体情况</w:t>
      </w:r>
    </w:p>
    <w:p>
      <w:pPr>
        <w:spacing w:line="540" w:lineRule="exact"/>
        <w:ind w:firstLine="640" w:firstLineChars="200"/>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一年来，我局认真贯彻执行《中华人民共和国政府信息公开条例》和中国气象局、自治区关于政府信息公开工作各项要求，积极稳步推进政府信息公开工作，进一步细化政府信息公开工作任务，以公开促规范，以公开促服务，切实回应公众关切，提供详实、准确的气象资讯，进一步提高气象政府信息公开工作的透明度和公信力。</w:t>
      </w:r>
    </w:p>
    <w:p>
      <w:pPr>
        <w:spacing w:line="540" w:lineRule="exact"/>
        <w:ind w:firstLine="642" w:firstLineChars="200"/>
        <w:rPr>
          <w:rFonts w:hint="eastAsia" w:ascii="楷体_GB2312" w:eastAsia="楷体_GB2312" w:cs="楷体_GB2312" w:hAnsiTheme="minorEastAsia"/>
          <w:b/>
          <w:sz w:val="32"/>
          <w:szCs w:val="32"/>
        </w:rPr>
      </w:pPr>
      <w:r>
        <w:rPr>
          <w:rFonts w:hint="eastAsia" w:ascii="楷体_GB2312" w:eastAsia="楷体_GB2312" w:cs="楷体_GB2312" w:hAnsiTheme="minorEastAsia"/>
          <w:b/>
          <w:sz w:val="32"/>
          <w:szCs w:val="32"/>
        </w:rPr>
        <w:t>（一）政府信息平台建设情况</w:t>
      </w:r>
    </w:p>
    <w:p>
      <w:pPr>
        <w:widowControl/>
        <w:shd w:val="clear" w:color="auto" w:fill="FFFFFF"/>
        <w:spacing w:line="540" w:lineRule="exact"/>
        <w:ind w:firstLine="640" w:firstLineChars="200"/>
        <w:jc w:val="left"/>
        <w:rPr>
          <w:rFonts w:hint="eastAsia" w:ascii="仿宋_GB2312" w:hAnsi="宋体" w:eastAsia="仿宋_GB2312" w:cs="宋体"/>
          <w:color w:val="333333"/>
          <w:kern w:val="0"/>
          <w:sz w:val="32"/>
          <w:szCs w:val="32"/>
        </w:rPr>
      </w:pPr>
      <w:r>
        <w:rPr>
          <w:rFonts w:hint="eastAsia" w:ascii="仿宋_GB2312" w:eastAsia="仿宋_GB2312" w:cs="仿宋_GB2312" w:hAnsiTheme="minorEastAsia"/>
          <w:sz w:val="32"/>
          <w:szCs w:val="32"/>
        </w:rPr>
        <w:t>按照政府网站建设指引和考核要求，</w:t>
      </w:r>
      <w:r>
        <w:rPr>
          <w:rFonts w:hint="eastAsia" w:ascii="仿宋_GB2312" w:eastAsia="仿宋_GB2312" w:cs="仿宋_GB2312" w:hAnsiTheme="minorEastAsia"/>
          <w:sz w:val="32"/>
          <w:szCs w:val="32"/>
          <w:lang w:eastAsia="zh-CN"/>
        </w:rPr>
        <w:t>我局</w:t>
      </w:r>
      <w:r>
        <w:rPr>
          <w:rFonts w:hint="eastAsia" w:ascii="仿宋_GB2312" w:eastAsia="仿宋_GB2312" w:cs="仿宋_GB2312" w:hAnsiTheme="minorEastAsia"/>
          <w:sz w:val="32"/>
          <w:szCs w:val="32"/>
        </w:rPr>
        <w:t>深入推进政府网站集约化</w:t>
      </w:r>
      <w:r>
        <w:rPr>
          <w:rFonts w:hint="eastAsia" w:ascii="仿宋_GB2312" w:eastAsia="仿宋_GB2312" w:cs="仿宋_GB2312" w:hAnsiTheme="minorEastAsia"/>
          <w:sz w:val="32"/>
          <w:szCs w:val="32"/>
          <w:lang w:eastAsia="zh-CN"/>
        </w:rPr>
        <w:t>管理</w:t>
      </w:r>
      <w:r>
        <w:rPr>
          <w:rFonts w:hint="eastAsia" w:ascii="仿宋_GB2312" w:eastAsia="仿宋_GB2312" w:cs="仿宋_GB2312" w:hAnsiTheme="minorEastAsia"/>
          <w:sz w:val="32"/>
          <w:szCs w:val="32"/>
        </w:rPr>
        <w:t>，及时发布政府信息，做到栏目设置规范、发布要素完整、准确。在坚持把自治区气象局政府网站作为我局政府信息公开第一平台的前提下，通过设立和使用各类平台、小程序、APP、公众号、微博等同步主动公开政府信息。与多部门协同联动，实现与中国气象局政务服务审批系统、地方政府政务一体化平台对接，积极推进“互联网+政务”发展</w:t>
      </w:r>
      <w:r>
        <w:rPr>
          <w:rFonts w:hint="eastAsia" w:ascii="仿宋_GB2312" w:eastAsia="仿宋_GB2312" w:cs="宋体" w:hAnsiTheme="minorEastAsia"/>
          <w:color w:val="333333"/>
          <w:kern w:val="0"/>
          <w:sz w:val="32"/>
          <w:szCs w:val="32"/>
        </w:rPr>
        <w:t>，</w:t>
      </w:r>
      <w:r>
        <w:rPr>
          <w:rFonts w:hint="eastAsia" w:ascii="仿宋_GB2312" w:eastAsia="仿宋_GB2312" w:cs="仿宋_GB2312" w:hAnsiTheme="minorEastAsia"/>
          <w:sz w:val="32"/>
          <w:szCs w:val="32"/>
        </w:rPr>
        <w:t>近两年来我局政务服务能力第三方评估平均得分，在全区25个三类部门中一直位列前三名。</w:t>
      </w:r>
    </w:p>
    <w:p>
      <w:pPr>
        <w:spacing w:line="540" w:lineRule="exact"/>
        <w:ind w:firstLine="642" w:firstLineChars="200"/>
        <w:rPr>
          <w:rFonts w:hint="eastAsia" w:ascii="楷体_GB2312" w:eastAsia="楷体_GB2312" w:cs="楷体_GB2312" w:hAnsiTheme="minorEastAsia"/>
          <w:b/>
          <w:sz w:val="32"/>
          <w:szCs w:val="32"/>
        </w:rPr>
      </w:pPr>
      <w:r>
        <w:rPr>
          <w:rFonts w:hint="eastAsia" w:ascii="楷体_GB2312" w:eastAsia="楷体_GB2312" w:cs="楷体_GB2312" w:hAnsiTheme="minorEastAsia"/>
          <w:b/>
          <w:sz w:val="32"/>
          <w:szCs w:val="32"/>
        </w:rPr>
        <w:t>（二）政府信息管理情况</w:t>
      </w:r>
    </w:p>
    <w:p>
      <w:pPr>
        <w:spacing w:line="540" w:lineRule="exact"/>
        <w:ind w:firstLine="640" w:firstLineChars="200"/>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继续有序推进政府信息公开标准化规范化工作，对政务公开专栏中的公开内容范围、信息发布格式、更新时间等严格按要求定期开展自查。未及时更新、公开不充分的及时更新补充；对公开内容分类不清晰的重新归类公布；对有保密要求的，严格按照要求进行分类公开。强化信息发布审核，确保信息发布及时、准确、严谨。</w:t>
      </w:r>
    </w:p>
    <w:p>
      <w:pPr>
        <w:spacing w:line="540" w:lineRule="exact"/>
        <w:ind w:firstLine="642" w:firstLineChars="200"/>
        <w:rPr>
          <w:rFonts w:hint="eastAsia" w:ascii="楷体_GB2312" w:eastAsia="楷体_GB2312" w:cs="楷体_GB2312" w:hAnsiTheme="minorEastAsia"/>
          <w:b/>
          <w:sz w:val="32"/>
          <w:szCs w:val="32"/>
        </w:rPr>
      </w:pPr>
      <w:r>
        <w:rPr>
          <w:rFonts w:hint="eastAsia" w:ascii="楷体_GB2312" w:eastAsia="楷体_GB2312" w:cs="楷体_GB2312" w:hAnsiTheme="minorEastAsia"/>
          <w:b/>
          <w:sz w:val="32"/>
          <w:szCs w:val="32"/>
        </w:rPr>
        <w:t>（三）政府信息主动公开情况</w:t>
      </w:r>
    </w:p>
    <w:p>
      <w:pPr>
        <w:widowControl/>
        <w:spacing w:line="540" w:lineRule="exact"/>
        <w:ind w:firstLine="641"/>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及时公布政策文件、法规、政务服务办理结果等</w:t>
      </w:r>
      <w:r>
        <w:rPr>
          <w:rFonts w:hint="eastAsia" w:ascii="仿宋_GB2312" w:eastAsia="仿宋_GB2312" w:cs="仿宋_GB2312" w:hAnsiTheme="minorEastAsia"/>
          <w:sz w:val="32"/>
          <w:szCs w:val="32"/>
          <w:lang w:eastAsia="zh-CN"/>
        </w:rPr>
        <w:t>方面内容</w:t>
      </w:r>
      <w:r>
        <w:rPr>
          <w:rFonts w:hint="eastAsia" w:ascii="仿宋_GB2312" w:eastAsia="仿宋_GB2312" w:cs="仿宋_GB2312" w:hAnsiTheme="minorEastAsia"/>
          <w:sz w:val="32"/>
          <w:szCs w:val="32"/>
        </w:rPr>
        <w:t>，加强同步推进重要政策文件解读；</w:t>
      </w:r>
      <w:r>
        <w:rPr>
          <w:rFonts w:hint="eastAsia" w:ascii="仿宋_GB2312" w:hAnsi="宋体" w:eastAsia="仿宋_GB2312" w:cs="宋体"/>
          <w:color w:val="000000"/>
          <w:kern w:val="0"/>
          <w:sz w:val="32"/>
          <w:szCs w:val="32"/>
        </w:rPr>
        <w:t>在汛期及重要天气过程通过微信、微博、抖音短视频等宣传载体加强气象科普宣传；</w:t>
      </w:r>
      <w:r>
        <w:rPr>
          <w:rFonts w:hint="eastAsia" w:ascii="仿宋_GB2312" w:eastAsia="仿宋_GB2312" w:cs="仿宋_GB2312" w:hAnsiTheme="minorEastAsia"/>
          <w:sz w:val="32"/>
          <w:szCs w:val="32"/>
        </w:rPr>
        <w:t>结合实际</w:t>
      </w:r>
      <w:r>
        <w:rPr>
          <w:rFonts w:hint="eastAsia" w:ascii="仿宋_GB2312" w:hAnsi="宋体" w:eastAsia="仿宋_GB2312" w:cs="宋体"/>
          <w:color w:val="000000"/>
          <w:kern w:val="0"/>
          <w:sz w:val="32"/>
          <w:szCs w:val="32"/>
        </w:rPr>
        <w:t>主动回应公众关切，</w:t>
      </w:r>
      <w:r>
        <w:rPr>
          <w:rFonts w:hint="eastAsia" w:ascii="仿宋_GB2312" w:eastAsia="仿宋_GB2312" w:cs="仿宋_GB2312" w:hAnsiTheme="minorEastAsia"/>
          <w:sz w:val="32"/>
          <w:szCs w:val="32"/>
        </w:rPr>
        <w:t>强化回应时效，对局长信箱、公众留言及依申请公开做到及时回复、反馈结果。全年我局主动更新发布政府信息共11962条，组织召开各类新闻发布会81次，发布新闻通稿101篇，在政务微博、微信、视频号发布气象信息9040条，播放量超百万的视频43条，单条累计最高达1700万，新媒体工作取得新突破。接收处理来自12345政务服务便民热线管理平台、政府网站问政互动平台、部门邮箱来信51件，均按期完成答复，且均为满意件。</w:t>
      </w:r>
    </w:p>
    <w:p>
      <w:pPr>
        <w:spacing w:line="540" w:lineRule="exact"/>
        <w:ind w:firstLine="642" w:firstLineChars="200"/>
        <w:rPr>
          <w:rFonts w:hint="eastAsia" w:ascii="楷体_GB2312" w:eastAsia="楷体_GB2312" w:cs="楷体_GB2312" w:hAnsiTheme="minorEastAsia"/>
          <w:b/>
          <w:sz w:val="32"/>
          <w:szCs w:val="32"/>
        </w:rPr>
      </w:pPr>
      <w:r>
        <w:rPr>
          <w:rFonts w:hint="eastAsia" w:ascii="楷体_GB2312" w:eastAsia="楷体_GB2312" w:cs="楷体_GB2312" w:hAnsiTheme="minorEastAsia"/>
          <w:b/>
          <w:sz w:val="32"/>
          <w:szCs w:val="32"/>
        </w:rPr>
        <w:t>（四）监督保障情况</w:t>
      </w:r>
    </w:p>
    <w:p>
      <w:pPr>
        <w:spacing w:line="540" w:lineRule="exact"/>
        <w:ind w:firstLine="640" w:firstLineChars="200"/>
        <w:rPr>
          <w:rStyle w:val="6"/>
          <w:rFonts w:hint="eastAsia" w:ascii="仿宋_GB2312" w:eastAsia="仿宋_GB2312" w:cs="楷体_GB2312" w:hAnsiTheme="minorEastAsia"/>
          <w:bCs/>
          <w:sz w:val="32"/>
          <w:szCs w:val="32"/>
          <w:shd w:val="clear" w:color="auto" w:fill="FFFFFF"/>
        </w:rPr>
      </w:pPr>
      <w:r>
        <w:rPr>
          <w:rFonts w:hint="eastAsia" w:ascii="仿宋_GB2312" w:eastAsia="仿宋_GB2312" w:cs="仿宋_GB2312" w:hAnsiTheme="minorEastAsia"/>
          <w:sz w:val="32"/>
          <w:szCs w:val="32"/>
        </w:rPr>
        <w:t>年内制定印发了</w:t>
      </w:r>
      <w:r>
        <w:rPr>
          <w:rFonts w:hint="eastAsia" w:ascii="仿宋_GB2312" w:eastAsia="仿宋_GB2312" w:cs="仿宋_GB2312" w:hAnsiTheme="minorEastAsia"/>
          <w:bCs/>
          <w:kern w:val="0"/>
          <w:sz w:val="32"/>
          <w:szCs w:val="32"/>
        </w:rPr>
        <w:t>政务公开工作要点</w:t>
      </w:r>
      <w:r>
        <w:rPr>
          <w:rFonts w:hint="eastAsia" w:ascii="仿宋_GB2312" w:eastAsia="仿宋_GB2312" w:cs="仿宋_GB2312" w:hAnsiTheme="minorEastAsia"/>
          <w:sz w:val="32"/>
          <w:szCs w:val="32"/>
        </w:rPr>
        <w:t>，并将任务分解至各相关职能处室（单位），严格按细化目标落实、推进。强化气象政府网站、气象媒体阵地监管，对政府信息内容发布、运行保障、网站安全等方面执行“三审三校、日常监测、每月通报、年度考核”工作机制，发现问题及时通报整改，消除风险隐患；及时清理“休眠”、“僵尸”新媒体账号。本年度我局在中国气象局政府网站抽查评比中位于全国前列。</w:t>
      </w:r>
    </w:p>
    <w:p>
      <w:pPr>
        <w:ind w:firstLine="560" w:firstLineChars="200"/>
        <w:rPr>
          <w:rFonts w:hint="eastAsia" w:ascii="黑体" w:hAnsi="黑体" w:eastAsia="黑体" w:cs="仿宋_GB2312"/>
          <w:bCs/>
          <w:sz w:val="28"/>
          <w:szCs w:val="28"/>
        </w:rPr>
      </w:pPr>
      <w:r>
        <w:rPr>
          <w:rFonts w:hint="eastAsia" w:ascii="黑体" w:hAnsi="黑体" w:eastAsia="黑体" w:cs="黑体"/>
          <w:bCs/>
          <w:sz w:val="28"/>
          <w:szCs w:val="28"/>
        </w:rPr>
        <w:t>二、主动公开政府信息情况</w:t>
      </w:r>
    </w:p>
    <w:tbl>
      <w:tblPr>
        <w:tblStyle w:val="4"/>
        <w:tblW w:w="8421" w:type="dxa"/>
        <w:jc w:val="center"/>
        <w:tblLayout w:type="autofit"/>
        <w:tblCellMar>
          <w:top w:w="0" w:type="dxa"/>
          <w:left w:w="0" w:type="dxa"/>
          <w:bottom w:w="0" w:type="dxa"/>
          <w:right w:w="0" w:type="dxa"/>
        </w:tblCellMar>
      </w:tblPr>
      <w:tblGrid>
        <w:gridCol w:w="1978"/>
        <w:gridCol w:w="2038"/>
        <w:gridCol w:w="2435"/>
        <w:gridCol w:w="1970"/>
      </w:tblGrid>
      <w:tr>
        <w:tblPrEx>
          <w:tblCellMar>
            <w:top w:w="0" w:type="dxa"/>
            <w:left w:w="0" w:type="dxa"/>
            <w:bottom w:w="0" w:type="dxa"/>
            <w:right w:w="0" w:type="dxa"/>
          </w:tblCellMar>
        </w:tblPrEx>
        <w:trPr>
          <w:trHeight w:val="340" w:hRule="atLeast"/>
          <w:jc w:val="center"/>
        </w:trPr>
        <w:tc>
          <w:tcPr>
            <w:tcW w:w="8421"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第二十条第（一）项</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203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本年废止件数</w:t>
            </w:r>
          </w:p>
        </w:tc>
        <w:tc>
          <w:tcPr>
            <w:tcW w:w="197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现行有效件数</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规章</w:t>
            </w:r>
          </w:p>
        </w:tc>
        <w:tc>
          <w:tcPr>
            <w:tcW w:w="203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bookmarkStart w:id="0" w:name="_GoBack"/>
            <w:bookmarkEnd w:id="0"/>
          </w:p>
        </w:tc>
        <w:tc>
          <w:tcPr>
            <w:tcW w:w="197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行政规范性文件</w:t>
            </w:r>
          </w:p>
        </w:tc>
        <w:tc>
          <w:tcPr>
            <w:tcW w:w="203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7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15</w:t>
            </w:r>
          </w:p>
        </w:tc>
      </w:tr>
      <w:tr>
        <w:tblPrEx>
          <w:tblCellMar>
            <w:top w:w="0" w:type="dxa"/>
            <w:left w:w="0" w:type="dxa"/>
            <w:bottom w:w="0" w:type="dxa"/>
            <w:right w:w="0" w:type="dxa"/>
          </w:tblCellMar>
        </w:tblPrEx>
        <w:trPr>
          <w:trHeight w:val="340" w:hRule="atLeast"/>
          <w:jc w:val="center"/>
        </w:trPr>
        <w:tc>
          <w:tcPr>
            <w:tcW w:w="8421"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第二十条第（五）项</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6443"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本年处理决定数量</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行政许可</w:t>
            </w:r>
          </w:p>
        </w:tc>
        <w:tc>
          <w:tcPr>
            <w:tcW w:w="6443"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84</w:t>
            </w:r>
          </w:p>
        </w:tc>
      </w:tr>
      <w:tr>
        <w:tblPrEx>
          <w:tblCellMar>
            <w:top w:w="0" w:type="dxa"/>
            <w:left w:w="0" w:type="dxa"/>
            <w:bottom w:w="0" w:type="dxa"/>
            <w:right w:w="0" w:type="dxa"/>
          </w:tblCellMar>
        </w:tblPrEx>
        <w:trPr>
          <w:trHeight w:val="340" w:hRule="atLeast"/>
          <w:jc w:val="center"/>
        </w:trPr>
        <w:tc>
          <w:tcPr>
            <w:tcW w:w="8421"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第二十条第（六）项</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6443"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本年处理决定数量</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行政处罚</w:t>
            </w:r>
          </w:p>
        </w:tc>
        <w:tc>
          <w:tcPr>
            <w:tcW w:w="6443"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行政强制</w:t>
            </w:r>
          </w:p>
        </w:tc>
        <w:tc>
          <w:tcPr>
            <w:tcW w:w="6443"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trHeight w:val="340" w:hRule="atLeast"/>
          <w:jc w:val="center"/>
        </w:trPr>
        <w:tc>
          <w:tcPr>
            <w:tcW w:w="8421"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第二十条第（八）项</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6443"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97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行政事业性收费</w:t>
            </w:r>
          </w:p>
        </w:tc>
        <w:tc>
          <w:tcPr>
            <w:tcW w:w="6443"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三、收到和处理政府信息公开申请情况</w:t>
      </w:r>
      <w:r>
        <w:rPr>
          <w:rFonts w:ascii="Cambria" w:hAnsi="Cambria" w:eastAsia="黑体" w:cs="Cambria"/>
          <w:bCs/>
          <w:sz w:val="32"/>
          <w:szCs w:val="32"/>
        </w:rPr>
        <w:t> </w:t>
      </w:r>
    </w:p>
    <w:tbl>
      <w:tblPr>
        <w:tblStyle w:val="4"/>
        <w:tblW w:w="8618" w:type="dxa"/>
        <w:jc w:val="center"/>
        <w:tblLayout w:type="autofit"/>
        <w:tblCellMar>
          <w:top w:w="0" w:type="dxa"/>
          <w:left w:w="0" w:type="dxa"/>
          <w:bottom w:w="0" w:type="dxa"/>
          <w:right w:w="0" w:type="dxa"/>
        </w:tblCellMar>
      </w:tblPr>
      <w:tblGrid>
        <w:gridCol w:w="595"/>
        <w:gridCol w:w="931"/>
        <w:gridCol w:w="2817"/>
        <w:gridCol w:w="639"/>
        <w:gridCol w:w="639"/>
        <w:gridCol w:w="639"/>
        <w:gridCol w:w="639"/>
        <w:gridCol w:w="639"/>
        <w:gridCol w:w="639"/>
        <w:gridCol w:w="441"/>
      </w:tblGrid>
      <w:tr>
        <w:tblPrEx>
          <w:tblCellMar>
            <w:top w:w="0" w:type="dxa"/>
            <w:left w:w="0" w:type="dxa"/>
            <w:bottom w:w="0" w:type="dxa"/>
            <w:right w:w="0" w:type="dxa"/>
          </w:tblCellMar>
        </w:tblPrEx>
        <w:trPr>
          <w:jc w:val="center"/>
        </w:trPr>
        <w:tc>
          <w:tcPr>
            <w:tcW w:w="434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4275"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申请人情况</w:t>
            </w:r>
          </w:p>
        </w:tc>
      </w:tr>
      <w:tr>
        <w:tblPrEx>
          <w:tblCellMar>
            <w:top w:w="0" w:type="dxa"/>
            <w:left w:w="0" w:type="dxa"/>
            <w:bottom w:w="0" w:type="dxa"/>
            <w:right w:w="0" w:type="dxa"/>
          </w:tblCellMar>
        </w:tblPrEx>
        <w:trPr>
          <w:jc w:val="center"/>
        </w:trPr>
        <w:tc>
          <w:tcPr>
            <w:tcW w:w="4343"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639"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自然人</w:t>
            </w:r>
          </w:p>
        </w:tc>
        <w:tc>
          <w:tcPr>
            <w:tcW w:w="3195"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法人或其他组织</w:t>
            </w:r>
          </w:p>
        </w:tc>
        <w:tc>
          <w:tcPr>
            <w:tcW w:w="441"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总计</w:t>
            </w:r>
          </w:p>
        </w:tc>
      </w:tr>
      <w:tr>
        <w:tblPrEx>
          <w:tblCellMar>
            <w:top w:w="0" w:type="dxa"/>
            <w:left w:w="0" w:type="dxa"/>
            <w:bottom w:w="0" w:type="dxa"/>
            <w:right w:w="0" w:type="dxa"/>
          </w:tblCellMar>
        </w:tblPrEx>
        <w:trPr>
          <w:jc w:val="center"/>
        </w:trPr>
        <w:tc>
          <w:tcPr>
            <w:tcW w:w="4343"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商业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企业</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科研</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机构</w:t>
            </w:r>
          </w:p>
        </w:tc>
        <w:tc>
          <w:tcPr>
            <w:tcW w:w="63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社会公益组织</w:t>
            </w:r>
          </w:p>
        </w:tc>
        <w:tc>
          <w:tcPr>
            <w:tcW w:w="63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法律服务机构</w:t>
            </w:r>
          </w:p>
        </w:tc>
        <w:tc>
          <w:tcPr>
            <w:tcW w:w="63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其他</w:t>
            </w:r>
          </w:p>
        </w:tc>
        <w:tc>
          <w:tcPr>
            <w:tcW w:w="441" w:type="dxa"/>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r>
      <w:tr>
        <w:tblPrEx>
          <w:tblCellMar>
            <w:top w:w="0" w:type="dxa"/>
            <w:left w:w="0" w:type="dxa"/>
            <w:bottom w:w="0" w:type="dxa"/>
            <w:right w:w="0" w:type="dxa"/>
          </w:tblCellMar>
        </w:tblPrEx>
        <w:trPr>
          <w:jc w:val="center"/>
        </w:trPr>
        <w:tc>
          <w:tcPr>
            <w:tcW w:w="434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434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二、上年结转政府信息公开申请数量</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748"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（一）予以公开</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3748"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93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（三）不予公开</w:t>
            </w: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1.属于国家秘密</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93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（四）无法提供</w:t>
            </w: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93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（五）不予处理</w:t>
            </w: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2.重复申请</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trHeight w:val="779" w:hRule="atLeast"/>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63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931"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（六）其他处理</w:t>
            </w:r>
          </w:p>
        </w:tc>
        <w:tc>
          <w:tcPr>
            <w:tcW w:w="281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2.申请人逾期未按收费通知要求缴纳费用、行政机关不再处理其政府信息公开申请</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281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3.其他</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595"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3748"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（七）总计</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434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四、结转下年度继续办理</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63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 </w:t>
            </w:r>
          </w:p>
        </w:tc>
        <w:tc>
          <w:tcPr>
            <w:tcW w:w="441"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spacing w:line="540" w:lineRule="exact"/>
        <w:ind w:firstLine="480" w:firstLineChars="150"/>
        <w:rPr>
          <w:rFonts w:hint="eastAsia"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4"/>
        <w:tblW w:w="8647" w:type="dxa"/>
        <w:tblInd w:w="-37" w:type="dxa"/>
        <w:tblLayout w:type="autofit"/>
        <w:tblCellMar>
          <w:top w:w="15" w:type="dxa"/>
          <w:left w:w="15" w:type="dxa"/>
          <w:bottom w:w="15" w:type="dxa"/>
          <w:right w:w="15" w:type="dxa"/>
        </w:tblCellMar>
      </w:tblPr>
      <w:tblGrid>
        <w:gridCol w:w="967"/>
        <w:gridCol w:w="452"/>
        <w:gridCol w:w="451"/>
        <w:gridCol w:w="602"/>
        <w:gridCol w:w="474"/>
        <w:gridCol w:w="602"/>
        <w:gridCol w:w="602"/>
        <w:gridCol w:w="602"/>
        <w:gridCol w:w="602"/>
        <w:gridCol w:w="474"/>
        <w:gridCol w:w="602"/>
        <w:gridCol w:w="602"/>
        <w:gridCol w:w="602"/>
        <w:gridCol w:w="602"/>
        <w:gridCol w:w="411"/>
      </w:tblGrid>
      <w:tr>
        <w:tblPrEx>
          <w:tblCellMar>
            <w:top w:w="15" w:type="dxa"/>
            <w:left w:w="15" w:type="dxa"/>
            <w:bottom w:w="15" w:type="dxa"/>
            <w:right w:w="15" w:type="dxa"/>
          </w:tblCellMar>
        </w:tblPrEx>
        <w:tc>
          <w:tcPr>
            <w:tcW w:w="2979"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行政复议</w:t>
            </w:r>
          </w:p>
        </w:tc>
        <w:tc>
          <w:tcPr>
            <w:tcW w:w="5668"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行政诉讼</w:t>
            </w:r>
          </w:p>
        </w:tc>
      </w:tr>
      <w:tr>
        <w:tblPrEx>
          <w:tblCellMar>
            <w:top w:w="15" w:type="dxa"/>
            <w:left w:w="15" w:type="dxa"/>
            <w:bottom w:w="15" w:type="dxa"/>
            <w:right w:w="15" w:type="dxa"/>
          </w:tblCellMar>
        </w:tblPrEx>
        <w:tc>
          <w:tcPr>
            <w:tcW w:w="967"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45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45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0" w:type="auto"/>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0" w:type="auto"/>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总计</w:t>
            </w:r>
          </w:p>
        </w:tc>
        <w:tc>
          <w:tcPr>
            <w:tcW w:w="0" w:type="auto"/>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2733"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0"/>
                <w:szCs w:val="20"/>
              </w:rPr>
            </w:pPr>
            <w:r>
              <w:rPr>
                <w:rFonts w:hint="eastAsia" w:ascii="宋体" w:hAnsi="宋体" w:eastAsia="宋体" w:cs="宋体"/>
                <w:sz w:val="20"/>
                <w:szCs w:val="20"/>
              </w:rPr>
              <w:t>复议后起诉</w:t>
            </w:r>
          </w:p>
        </w:tc>
      </w:tr>
      <w:tr>
        <w:tblPrEx>
          <w:tblCellMar>
            <w:top w:w="15" w:type="dxa"/>
            <w:left w:w="15" w:type="dxa"/>
            <w:bottom w:w="15" w:type="dxa"/>
            <w:right w:w="15" w:type="dxa"/>
          </w:tblCellMar>
        </w:tblPrEx>
        <w:tc>
          <w:tcPr>
            <w:tcW w:w="967" w:type="dxa"/>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nil"/>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single" w:color="auto" w:sz="6" w:space="0"/>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single" w:color="auto" w:sz="6" w:space="0"/>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vMerge w:val="continue"/>
            <w:tcBorders>
              <w:top w:val="single" w:color="auto" w:sz="6" w:space="0"/>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总计</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0" w:type="auto"/>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30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t>总计</w:t>
            </w:r>
          </w:p>
        </w:tc>
      </w:tr>
      <w:tr>
        <w:tblPrEx>
          <w:tblCellMar>
            <w:top w:w="15" w:type="dxa"/>
            <w:left w:w="15" w:type="dxa"/>
            <w:bottom w:w="15" w:type="dxa"/>
            <w:right w:w="15" w:type="dxa"/>
          </w:tblCellMar>
        </w:tblPrEx>
        <w:tc>
          <w:tcPr>
            <w:tcW w:w="96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45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0" w:type="auto"/>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p>
        </w:tc>
        <w:tc>
          <w:tcPr>
            <w:tcW w:w="3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五、存在的主要问题及改进情况</w:t>
      </w:r>
    </w:p>
    <w:p>
      <w:pPr>
        <w:widowControl/>
        <w:spacing w:line="540" w:lineRule="exact"/>
        <w:ind w:firstLine="641"/>
        <w:rPr>
          <w:rFonts w:hint="eastAsia" w:ascii="仿宋_GB2312" w:eastAsia="仿宋_GB2312" w:cs="宋体" w:hAnsiTheme="minorEastAsia"/>
          <w:kern w:val="0"/>
          <w:sz w:val="32"/>
          <w:szCs w:val="32"/>
        </w:rPr>
      </w:pPr>
      <w:r>
        <w:rPr>
          <w:rFonts w:hint="eastAsia" w:ascii="仿宋_GB2312" w:eastAsia="仿宋_GB2312" w:cs="仿宋_GB2312" w:hAnsiTheme="minorEastAsia"/>
          <w:sz w:val="32"/>
          <w:szCs w:val="32"/>
        </w:rPr>
        <w:t>2022年我局政府信息公开工作稳步开展，但还存在一些不足，如信息发布仍不够及时、精准，一些重要文件出台后没有及时同步发布解读文件；互动交流栏目内容不够丰富，互动性有待提高；政府信息公开工作的积极性和</w:t>
      </w:r>
      <w:r>
        <w:rPr>
          <w:rFonts w:hint="eastAsia" w:ascii="仿宋_GB2312" w:eastAsia="仿宋_GB2312" w:cs="宋体" w:hAnsiTheme="minorEastAsia"/>
          <w:kern w:val="0"/>
          <w:sz w:val="32"/>
          <w:szCs w:val="32"/>
        </w:rPr>
        <w:t>责任感</w:t>
      </w:r>
      <w:r>
        <w:rPr>
          <w:rFonts w:hint="eastAsia" w:ascii="仿宋_GB2312" w:eastAsia="仿宋_GB2312" w:cs="仿宋_GB2312" w:hAnsiTheme="minorEastAsia"/>
          <w:sz w:val="32"/>
          <w:szCs w:val="32"/>
        </w:rPr>
        <w:t>需进一步提升。</w:t>
      </w:r>
    </w:p>
    <w:p>
      <w:pPr>
        <w:spacing w:line="540" w:lineRule="exact"/>
        <w:ind w:left="420" w:leftChars="200" w:firstLine="320" w:firstLineChars="1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 xml:space="preserve">下一步，我局将从以下几方面完善政府信息公开工作： </w:t>
      </w:r>
    </w:p>
    <w:p>
      <w:pPr>
        <w:spacing w:line="540" w:lineRule="exact"/>
        <w:ind w:firstLine="640" w:firstLineChars="200"/>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一是提升对政府信息公开重要性的认识，把政府信息公开工作作为一项</w:t>
      </w:r>
      <w:r>
        <w:rPr>
          <w:rFonts w:hint="eastAsia" w:ascii="仿宋_GB2312" w:eastAsia="仿宋_GB2312" w:cs="仿宋_GB2312" w:hAnsiTheme="minorEastAsia"/>
          <w:sz w:val="32"/>
          <w:szCs w:val="32"/>
          <w:lang w:eastAsia="zh-CN"/>
        </w:rPr>
        <w:t>常态</w:t>
      </w:r>
      <w:r>
        <w:rPr>
          <w:rFonts w:hint="eastAsia" w:ascii="仿宋_GB2312" w:eastAsia="仿宋_GB2312" w:cs="仿宋_GB2312" w:hAnsiTheme="minorEastAsia"/>
          <w:sz w:val="32"/>
          <w:szCs w:val="32"/>
        </w:rPr>
        <w:t xml:space="preserve">化的工作，确保责任到位、措施到位。                                                                                                                                                                                                                                                                                                                                                                                                                                                                                                                                                                                                                                                                                                                                                                                                                                                                                                                                                                                                                                                                                                                                                                                                                                                                                                                                                                                                                                                                                                                                                                                                                                                                                                                                                                                                                                                                                                                                                                                                                                                                                                                                                                                                                                                                                                                                                                                                                                                                                                                                                             </w:t>
      </w:r>
    </w:p>
    <w:p>
      <w:pPr>
        <w:spacing w:line="540" w:lineRule="exact"/>
        <w:ind w:firstLine="640" w:firstLineChars="200"/>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二是对界定为可公开的政府信息，按照“应公开、尽公开”的原则，加大信息公开力度，</w:t>
      </w:r>
      <w:r>
        <w:rPr>
          <w:rFonts w:hint="eastAsia" w:ascii="仿宋_GB2312" w:eastAsia="仿宋_GB2312" w:cs="宋体" w:hAnsiTheme="minorEastAsia"/>
          <w:kern w:val="0"/>
          <w:sz w:val="32"/>
          <w:szCs w:val="32"/>
        </w:rPr>
        <w:t>细化分类、规范表述，使信息公开更及时、内容更精准、更符合公众的需求，并对信息发布、平台运行继续开展</w:t>
      </w:r>
      <w:r>
        <w:rPr>
          <w:rFonts w:hint="eastAsia" w:ascii="仿宋_GB2312" w:eastAsia="仿宋_GB2312" w:cs="仿宋_GB2312" w:hAnsiTheme="minorEastAsia"/>
          <w:sz w:val="32"/>
          <w:szCs w:val="32"/>
        </w:rPr>
        <w:t>常态化监管和维护。</w:t>
      </w:r>
    </w:p>
    <w:p>
      <w:pPr>
        <w:spacing w:line="540" w:lineRule="exact"/>
        <w:ind w:firstLine="640" w:firstLineChars="200"/>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三是不断提升气象政府网站和新媒体互动交流栏目互动效果。畅通气象政府网站、公众号、微博等互动渠道，让不同的受众群体参与到感兴趣的互动主题，及时给予回应和反馈，以达到有效沟通的目的。</w:t>
      </w:r>
    </w:p>
    <w:p>
      <w:pPr>
        <w:spacing w:line="540" w:lineRule="exact"/>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　　四是继续加大培训力度，采取多种形式开展政务公开业务技能培训学习和业务交流，进一步提升信息公开工作水平。</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六、其他需要报告的事项</w:t>
      </w:r>
    </w:p>
    <w:p>
      <w:pPr>
        <w:spacing w:line="540" w:lineRule="exact"/>
        <w:ind w:firstLine="640" w:firstLineChars="200"/>
        <w:rPr>
          <w:rFonts w:hint="eastAsia" w:ascii="仿宋_GB2312" w:eastAsia="仿宋_GB2312"/>
          <w:sz w:val="32"/>
          <w:szCs w:val="32"/>
        </w:rPr>
      </w:pPr>
      <w:r>
        <w:rPr>
          <w:rFonts w:hint="eastAsia" w:ascii="仿宋_GB2312" w:eastAsia="仿宋_GB2312" w:cs="仿宋_GB2312" w:hAnsiTheme="minorEastAsia"/>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5"/>
    <w:rsid w:val="00026CAE"/>
    <w:rsid w:val="002C4FD7"/>
    <w:rsid w:val="00572855"/>
    <w:rsid w:val="009A136F"/>
    <w:rsid w:val="009A5C78"/>
    <w:rsid w:val="00A22DD0"/>
    <w:rsid w:val="00AF2469"/>
    <w:rsid w:val="00E00CFF"/>
    <w:rsid w:val="3B29D43A"/>
    <w:rsid w:val="3BFE4576"/>
    <w:rsid w:val="3F715F9B"/>
    <w:rsid w:val="3FFFABED"/>
    <w:rsid w:val="5577172C"/>
    <w:rsid w:val="559FEEAF"/>
    <w:rsid w:val="5C5FD6EB"/>
    <w:rsid w:val="7FAB846B"/>
    <w:rsid w:val="9FBB04D3"/>
    <w:rsid w:val="EFF7E4F8"/>
    <w:rsid w:val="F5FFC9BF"/>
    <w:rsid w:val="F77F29DA"/>
    <w:rsid w:val="FFD5B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842</Words>
  <Characters>4805</Characters>
  <Lines>40</Lines>
  <Paragraphs>11</Paragraphs>
  <TotalTime>7</TotalTime>
  <ScaleCrop>false</ScaleCrop>
  <LinksUpToDate>false</LinksUpToDate>
  <CharactersWithSpaces>5636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2023-01-15T01:09:00Z</dcterms:created>
  <dc:creator>广西局文秘</dc:creator>
  <cp:lastModifiedBy>广西局文秘:局文秘</cp:lastModifiedBy>
  <dcterms:modified xsi:type="dcterms:W3CDTF">2023-01-18T11:51:52Z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