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ascii="??,Verdana" w:hAnsi="??,Verdana" w:cs="宋体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</w:rPr>
        <w:t>柳州市气象局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lang w:eastAsia="zh-CN"/>
        </w:rPr>
        <w:t>2021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</w:rPr>
        <w:t>年部门预算</w:t>
      </w:r>
    </w:p>
    <w:p>
      <w:pPr>
        <w:widowControl/>
        <w:snapToGrid w:val="0"/>
        <w:spacing w:line="560" w:lineRule="exact"/>
        <w:ind w:firstLine="630"/>
        <w:jc w:val="center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第一部分：部门概况</w:t>
      </w:r>
    </w:p>
    <w:p>
      <w:pPr>
        <w:widowControl/>
        <w:snapToGrid w:val="0"/>
        <w:spacing w:line="560" w:lineRule="exact"/>
        <w:ind w:firstLine="664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一、单位概况</w:t>
      </w:r>
    </w:p>
    <w:p>
      <w:pPr>
        <w:widowControl/>
        <w:snapToGrid w:val="0"/>
        <w:spacing w:line="560" w:lineRule="exac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柳州市气象局成立于2003年，是受自治区气象局和柳州市政府双重领导的公益事业单位，实行双重财务体制。柳州市气象局为正处级单位，是柳州市气象主管机构，下辖柳江区、柳城、鹿寨、融水、融安、三江5县1区气象局和柳州市农业气象试验站，承担全市气象工作政府行政管理职能和气象预报服务、探测和防御气象灾害等任务。</w:t>
      </w:r>
    </w:p>
    <w:p>
      <w:pPr>
        <w:widowControl/>
        <w:snapToGrid w:val="0"/>
        <w:spacing w:line="560" w:lineRule="exact"/>
        <w:ind w:firstLine="482" w:firstLineChars="200"/>
        <w:rPr>
          <w:rFonts w:ascii="仿宋_GB2312" w:hAnsi="仿宋" w:eastAsia="仿宋_GB2312" w:cs="宋体"/>
          <w:b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 w:themeColor="text1"/>
          <w:kern w:val="0"/>
          <w:sz w:val="24"/>
          <w:szCs w:val="24"/>
        </w:rPr>
        <w:t>二、人员构成情况</w:t>
      </w:r>
    </w:p>
    <w:p>
      <w:pPr>
        <w:widowControl/>
        <w:snapToGrid w:val="0"/>
        <w:spacing w:line="560" w:lineRule="exact"/>
        <w:ind w:firstLine="480" w:firstLineChars="200"/>
        <w:rPr>
          <w:rFonts w:ascii="仿宋_GB2312" w:hAnsi="仿宋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柳州市气象局人员编制81人，在编实有人员77人，其中参照公务员管理办</w:t>
      </w:r>
      <w:bookmarkStart w:id="0" w:name="_GoBack"/>
      <w:bookmarkEnd w:id="0"/>
      <w:r>
        <w:rPr>
          <w:rFonts w:hint="eastAsia" w:ascii="仿宋_GB2312" w:hAnsi="仿宋" w:eastAsia="仿宋_GB2312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进行管理的参公人员14人，事业编制管理人员63人，退休人员66人，长期聘用人员3人（技术人员3人）。柳州市气象局为公益事业单位，在编人员中以技术人员为主，正高级技术人员1人，副高级技术人员19人，中级技术人员36人，初级技术人员19人。公益编制18人，在编实有人员11人（技术人员11人）。</w:t>
      </w:r>
    </w:p>
    <w:p>
      <w:pPr>
        <w:widowControl/>
        <w:snapToGrid w:val="0"/>
        <w:spacing w:line="420" w:lineRule="atLeast"/>
        <w:ind w:firstLine="630"/>
        <w:jc w:val="center"/>
        <w:rPr>
          <w:rFonts w:ascii="仿宋_GB2312" w:hAnsi="仿宋" w:eastAsia="仿宋_GB2312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24"/>
          <w:szCs w:val="24"/>
        </w:rPr>
        <w:t>第二部分：柳州市气象局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24"/>
          <w:szCs w:val="24"/>
          <w:lang w:eastAsia="zh-CN"/>
        </w:rPr>
        <w:t>2021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24"/>
          <w:szCs w:val="24"/>
        </w:rPr>
        <w:t>年部门预算报表</w:t>
      </w:r>
    </w:p>
    <w:p>
      <w:pPr>
        <w:widowControl/>
        <w:snapToGrid w:val="0"/>
        <w:spacing w:line="420" w:lineRule="atLeast"/>
        <w:ind w:firstLine="630"/>
        <w:jc w:val="center"/>
        <w:rPr>
          <w:rFonts w:ascii="仿宋_GB2312" w:hAnsi="仿宋" w:eastAsia="仿宋_GB2312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napToGrid w:val="0"/>
        <w:spacing w:line="420" w:lineRule="atLeast"/>
        <w:ind w:firstLine="602" w:firstLineChars="2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一、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单位收支总体情况表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（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预算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公开01表）</w:t>
      </w:r>
    </w:p>
    <w:p>
      <w:pPr>
        <w:widowControl/>
        <w:snapToGrid w:val="0"/>
        <w:spacing w:line="420" w:lineRule="atLeast"/>
        <w:ind w:firstLine="602" w:firstLineChars="2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二、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单位收入总体情况表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（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预算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公开02表）</w:t>
      </w:r>
    </w:p>
    <w:p>
      <w:pPr>
        <w:widowControl/>
        <w:snapToGrid w:val="0"/>
        <w:spacing w:line="420" w:lineRule="atLeast"/>
        <w:ind w:firstLine="602" w:firstLineChars="2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三、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单位支出总体情况表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（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预算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公开03表）</w:t>
      </w:r>
    </w:p>
    <w:p>
      <w:pPr>
        <w:widowControl/>
        <w:snapToGrid w:val="0"/>
        <w:spacing w:line="420" w:lineRule="atLeast"/>
        <w:ind w:firstLine="602" w:firstLineChars="2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四、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财政拨款收支总体情况表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（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预算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公开04表）</w:t>
      </w:r>
    </w:p>
    <w:p>
      <w:pPr>
        <w:widowControl/>
        <w:snapToGrid w:val="0"/>
        <w:spacing w:line="420" w:lineRule="atLeast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 xml:space="preserve">     五、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一般公共预算支出情况表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（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预算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公开05表）</w:t>
      </w:r>
    </w:p>
    <w:p>
      <w:pPr>
        <w:widowControl/>
        <w:snapToGrid w:val="0"/>
        <w:spacing w:line="420" w:lineRule="atLeast"/>
        <w:ind w:firstLine="602" w:firstLineChars="2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六、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一般公共预算基本支出情况表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（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预算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公开06表）</w:t>
      </w:r>
    </w:p>
    <w:p>
      <w:pPr>
        <w:widowControl/>
        <w:snapToGrid w:val="0"/>
        <w:spacing w:line="420" w:lineRule="atLeast"/>
        <w:ind w:firstLine="602" w:firstLineChars="2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七、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一般公共预算“三公”经费支出情况表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（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预算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公开07表）</w:t>
      </w:r>
    </w:p>
    <w:p>
      <w:pPr>
        <w:widowControl/>
        <w:snapToGrid w:val="0"/>
        <w:spacing w:line="420" w:lineRule="atLeast"/>
        <w:ind w:firstLine="602" w:firstLineChars="2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八、政府性基金支出预算表（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预算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公开08表）</w:t>
      </w:r>
    </w:p>
    <w:p>
      <w:pPr>
        <w:widowControl/>
        <w:snapToGrid w:val="0"/>
        <w:spacing w:line="420" w:lineRule="atLeast"/>
        <w:ind w:firstLine="602" w:firstLineChars="2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九、国有资金经营预算支出表（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预算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公开09表）</w:t>
      </w:r>
    </w:p>
    <w:p>
      <w:pPr>
        <w:widowControl/>
        <w:snapToGrid w:val="0"/>
        <w:spacing w:line="420" w:lineRule="atLeast"/>
        <w:ind w:firstLine="602" w:firstLineChars="2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十、政府采购预算表（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预算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公开10表）</w:t>
      </w:r>
    </w:p>
    <w:p>
      <w:pPr>
        <w:widowControl/>
        <w:snapToGrid w:val="0"/>
        <w:spacing w:line="420" w:lineRule="atLeast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 xml:space="preserve">     十一、政府购买服务预算表（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eastAsia="zh-CN"/>
        </w:rPr>
        <w:t>预算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公开1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表）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上述报表详见附件。</w:t>
      </w:r>
    </w:p>
    <w:p>
      <w:pPr>
        <w:widowControl/>
        <w:spacing w:line="420" w:lineRule="atLeast"/>
        <w:jc w:val="center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 w:val="24"/>
          <w:szCs w:val="24"/>
        </w:rPr>
        <w:t>第三部分：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24"/>
          <w:szCs w:val="24"/>
          <w:lang w:eastAsia="zh-CN"/>
        </w:rPr>
        <w:t>2021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24"/>
          <w:szCs w:val="24"/>
        </w:rPr>
        <w:t>年部门预算报表说明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ind w:firstLine="361" w:firstLineChars="1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一、部门收支预算情况说明</w:t>
      </w:r>
    </w:p>
    <w:p>
      <w:pPr>
        <w:spacing w:line="560" w:lineRule="exact"/>
        <w:ind w:firstLine="360" w:firstLineChars="1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2021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年收支总预算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732.34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增加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96.70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增长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15.21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%。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2021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年收入预算总数为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732.34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万元，全部为一般公共财政预算拨款；支出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732.34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万元，全部为自然资源海洋气象等支出。</w:t>
      </w:r>
    </w:p>
    <w:p>
      <w:pPr>
        <w:spacing w:line="560" w:lineRule="exact"/>
        <w:ind w:firstLine="361" w:firstLineChars="1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二、部门收入预算情况说明</w:t>
      </w:r>
    </w:p>
    <w:p>
      <w:pPr>
        <w:spacing w:line="560" w:lineRule="exact"/>
        <w:ind w:firstLine="360" w:firstLineChars="150"/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2021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年收入总预算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732.34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增加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96.70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增长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15.21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%。其中：一般公共财政预算拨款，占收入总预算100%，同比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增加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96.70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增长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15.21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%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spacing w:line="560" w:lineRule="exact"/>
        <w:ind w:firstLine="360" w:firstLineChars="1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2021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年预算总体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增长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的主要原因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事业人员绩效工资总量和新增《天气预报》节目柳州点版面经费项目增加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 xml:space="preserve">。 </w:t>
      </w:r>
    </w:p>
    <w:p>
      <w:pPr>
        <w:spacing w:line="560" w:lineRule="exact"/>
        <w:ind w:firstLine="361" w:firstLineChars="1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三、部门支出预算情况说明</w:t>
      </w:r>
    </w:p>
    <w:p>
      <w:pPr>
        <w:spacing w:line="560" w:lineRule="exact"/>
        <w:ind w:firstLine="360" w:firstLineChars="1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2021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年支出总预算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732.34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万元，全部为一般公共财政预算拨款支出，全部为项目支出，同比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增加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96.70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增长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15.21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%。支出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增加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的主要原因与收入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增加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 xml:space="preserve">原因相同。  </w:t>
      </w:r>
    </w:p>
    <w:p>
      <w:pPr>
        <w:spacing w:line="560" w:lineRule="exact"/>
        <w:ind w:firstLine="360" w:firstLineChars="1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（一）按支出功能分类划分，总共一类，自然资源海洋气象等支出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732.34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万元，占支出预算100%，同比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增加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96.70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增长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15.21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%。</w:t>
      </w:r>
    </w:p>
    <w:p>
      <w:pPr>
        <w:spacing w:line="560" w:lineRule="exact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 xml:space="preserve">   （二）按支出结构分类划分，分基本支出和项目支出预算。</w:t>
      </w:r>
    </w:p>
    <w:p>
      <w:pPr>
        <w:spacing w:line="560" w:lineRule="exact"/>
        <w:ind w:firstLine="120" w:firstLineChars="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 xml:space="preserve">   1、基本支出预算。</w:t>
      </w:r>
    </w:p>
    <w:p>
      <w:pPr>
        <w:spacing w:line="560" w:lineRule="exact"/>
        <w:ind w:firstLine="120" w:firstLineChars="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2021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年未安排基本支出预算。</w:t>
      </w:r>
    </w:p>
    <w:p>
      <w:pPr>
        <w:spacing w:line="560" w:lineRule="exact"/>
        <w:ind w:firstLine="120" w:firstLineChars="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 xml:space="preserve">   2、项目支出预算。</w:t>
      </w:r>
    </w:p>
    <w:p>
      <w:pPr>
        <w:spacing w:line="560" w:lineRule="exact"/>
        <w:ind w:firstLine="360" w:firstLineChars="150"/>
        <w:rPr>
          <w:rFonts w:ascii="仿宋_GB2312" w:hAnsi="仿宋" w:eastAsia="仿宋_GB2312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24"/>
          <w:szCs w:val="24"/>
        </w:rPr>
        <w:t xml:space="preserve"> 项目支出预算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24"/>
          <w:szCs w:val="24"/>
          <w:lang w:val="en-US" w:eastAsia="zh-CN"/>
        </w:rPr>
        <w:t>732.34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24"/>
          <w:szCs w:val="24"/>
        </w:rPr>
        <w:t>万元，占支出预算100%，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增加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96.70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万元，同比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增长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15.21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%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24"/>
          <w:szCs w:val="24"/>
        </w:rPr>
        <w:t>。</w:t>
      </w:r>
    </w:p>
    <w:p>
      <w:pPr>
        <w:spacing w:line="560" w:lineRule="exact"/>
        <w:ind w:firstLine="361" w:firstLineChars="1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四、财政拨款收支情况说明</w:t>
      </w:r>
    </w:p>
    <w:p>
      <w:pPr>
        <w:spacing w:line="560" w:lineRule="exact"/>
        <w:ind w:firstLine="360" w:firstLineChars="1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2021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年财政拨款收支总预算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732.34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万元。收入全部为一般公共预算拨款，支出全部为自然资源海洋气象等支出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732.34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万元。</w:t>
      </w:r>
    </w:p>
    <w:p>
      <w:pPr>
        <w:spacing w:line="560" w:lineRule="exact"/>
        <w:ind w:firstLine="361" w:firstLineChars="15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五、一般公共预算支出情况说明</w:t>
      </w:r>
    </w:p>
    <w:p>
      <w:pPr>
        <w:spacing w:line="560" w:lineRule="exact"/>
        <w:ind w:firstLine="360" w:firstLineChars="1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2021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年一般公共预算拨款支出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732.34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万元。其中：基本支出0万元，项目支出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732.34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万元。具体支出预算如下：</w:t>
      </w:r>
    </w:p>
    <w:p>
      <w:pPr>
        <w:spacing w:line="560" w:lineRule="exact"/>
        <w:ind w:firstLine="360" w:firstLineChars="1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气象服务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val="en-US" w:eastAsia="zh-CN"/>
        </w:rPr>
        <w:t>732.34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全部为项目支出。主要用于在职事业编制人员绩效工资、服务公益辅助岗人员经费、人工降雨业务经费、多普勒天气雷达专项运行费、风廓线雷达专项运行费、中尺度自动气象站专项运行费、气象预警大喇叭专项运行费、气象业务补助经费、公共气象服务信息发布维持费、防雷减灾工作运行维持费。</w:t>
      </w:r>
    </w:p>
    <w:p>
      <w:pPr>
        <w:spacing w:line="560" w:lineRule="exact"/>
        <w:ind w:firstLine="482" w:firstLineChars="20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六、一般公共预算基本支出情况说明</w:t>
      </w:r>
    </w:p>
    <w:p>
      <w:pPr>
        <w:spacing w:line="560" w:lineRule="exac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2021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年未安排一般公共预算基本支出预算。</w:t>
      </w:r>
    </w:p>
    <w:p>
      <w:pPr>
        <w:spacing w:line="560" w:lineRule="exact"/>
        <w:ind w:firstLine="482" w:firstLineChars="20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七、一般公共预算“三公”经费情况说明</w:t>
      </w:r>
    </w:p>
    <w:p>
      <w:pPr>
        <w:widowControl/>
        <w:spacing w:line="560" w:lineRule="exact"/>
        <w:ind w:firstLine="360" w:firstLineChars="1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（一）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2021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年部门预算全口径安排的“三公”经费预算情况。</w:t>
      </w:r>
    </w:p>
    <w:p>
      <w:pPr>
        <w:widowControl/>
        <w:spacing w:line="560" w:lineRule="exact"/>
        <w:ind w:firstLine="360" w:firstLineChars="1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2021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年部门预算共安排“三公”经费支出预算</w:t>
      </w:r>
      <w:r>
        <w:rPr>
          <w:rFonts w:ascii="仿宋_GB2312" w:hAnsi="仿宋" w:eastAsia="仿宋_GB2312" w:cs="宋体"/>
          <w:color w:val="000000"/>
          <w:kern w:val="0"/>
          <w:sz w:val="24"/>
          <w:szCs w:val="24"/>
        </w:rPr>
        <w:t>0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万元（全口径），其中：因公出国（境）经费支出预算</w:t>
      </w:r>
      <w:r>
        <w:rPr>
          <w:rFonts w:ascii="仿宋_GB2312" w:hAnsi="仿宋" w:eastAsia="仿宋_GB2312" w:cs="宋体"/>
          <w:color w:val="000000"/>
          <w:kern w:val="0"/>
          <w:sz w:val="24"/>
          <w:szCs w:val="24"/>
        </w:rPr>
        <w:t>0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万元，公务接待费支出预算</w:t>
      </w:r>
      <w:r>
        <w:rPr>
          <w:rFonts w:ascii="仿宋_GB2312" w:hAnsi="仿宋" w:eastAsia="仿宋_GB2312" w:cs="宋体"/>
          <w:color w:val="000000"/>
          <w:kern w:val="0"/>
          <w:sz w:val="24"/>
          <w:szCs w:val="24"/>
        </w:rPr>
        <w:t>0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万元，公务用车购置费支出预算</w:t>
      </w:r>
      <w:r>
        <w:rPr>
          <w:rFonts w:ascii="仿宋_GB2312" w:hAnsi="仿宋" w:eastAsia="仿宋_GB2312" w:cs="宋体"/>
          <w:color w:val="000000"/>
          <w:kern w:val="0"/>
          <w:sz w:val="24"/>
          <w:szCs w:val="24"/>
        </w:rPr>
        <w:t>0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万元，公务用车运行维护费支出预算</w:t>
      </w:r>
      <w:r>
        <w:rPr>
          <w:rFonts w:ascii="仿宋_GB2312" w:hAnsi="仿宋" w:eastAsia="仿宋_GB2312" w:cs="宋体"/>
          <w:color w:val="000000"/>
          <w:kern w:val="0"/>
          <w:sz w:val="24"/>
          <w:szCs w:val="24"/>
        </w:rPr>
        <w:t>0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万元。</w:t>
      </w:r>
    </w:p>
    <w:p>
      <w:pPr>
        <w:widowControl/>
        <w:spacing w:line="560" w:lineRule="exact"/>
        <w:ind w:firstLine="360" w:firstLineChars="150"/>
        <w:rPr>
          <w:rFonts w:ascii="仿宋_GB2312" w:hAnsi="仿宋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（二）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2021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年一般公共预算资金安排的“三公”经费预算情况。</w:t>
      </w:r>
    </w:p>
    <w:p>
      <w:pPr>
        <w:widowControl/>
        <w:spacing w:line="560" w:lineRule="exact"/>
        <w:ind w:firstLine="360" w:firstLineChars="150"/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2021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年一般公共预算资金安排的“三公”经费支出预算</w:t>
      </w:r>
      <w:r>
        <w:rPr>
          <w:rFonts w:ascii="仿宋_GB2312" w:hAnsi="仿宋" w:eastAsia="仿宋_GB2312" w:cs="宋体"/>
          <w:color w:val="000000"/>
          <w:kern w:val="0"/>
          <w:sz w:val="24"/>
          <w:szCs w:val="24"/>
        </w:rPr>
        <w:t>0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万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spacing w:line="560" w:lineRule="exact"/>
        <w:ind w:firstLine="482" w:firstLineChars="200"/>
        <w:rPr>
          <w:rFonts w:ascii="仿宋_GB2312" w:hAnsi="仿宋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24"/>
          <w:szCs w:val="24"/>
        </w:rPr>
        <w:t>八、政府性基金预算情况说明</w:t>
      </w:r>
    </w:p>
    <w:p>
      <w:pPr>
        <w:spacing w:line="560" w:lineRule="exact"/>
        <w:ind w:firstLine="360" w:firstLineChars="150"/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  <w:lang w:eastAsia="zh-CN"/>
        </w:rPr>
        <w:t>2021</w:t>
      </w:r>
      <w:r>
        <w:rPr>
          <w:rFonts w:hint="eastAsia" w:ascii="仿宋_GB2312" w:hAnsi="仿宋" w:eastAsia="仿宋_GB2312" w:cs="宋体"/>
          <w:color w:val="000000"/>
          <w:kern w:val="0"/>
          <w:sz w:val="24"/>
          <w:szCs w:val="24"/>
        </w:rPr>
        <w:t>年没有使用政府性基金预算拨款安排支出。</w:t>
      </w:r>
    </w:p>
    <w:p>
      <w:pPr>
        <w:spacing w:line="560" w:lineRule="exact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,Verda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AA3"/>
    <w:rsid w:val="00025A10"/>
    <w:rsid w:val="000346BD"/>
    <w:rsid w:val="0004202A"/>
    <w:rsid w:val="00055DC6"/>
    <w:rsid w:val="00065D2D"/>
    <w:rsid w:val="000C7967"/>
    <w:rsid w:val="000E6406"/>
    <w:rsid w:val="00135F16"/>
    <w:rsid w:val="001F6F2B"/>
    <w:rsid w:val="00204FB0"/>
    <w:rsid w:val="00265587"/>
    <w:rsid w:val="0029467C"/>
    <w:rsid w:val="002E0A12"/>
    <w:rsid w:val="00312AA3"/>
    <w:rsid w:val="00371AFE"/>
    <w:rsid w:val="00373FBD"/>
    <w:rsid w:val="0037502F"/>
    <w:rsid w:val="003E2509"/>
    <w:rsid w:val="003F34EE"/>
    <w:rsid w:val="004779B2"/>
    <w:rsid w:val="00484874"/>
    <w:rsid w:val="004E2B63"/>
    <w:rsid w:val="004F0FEF"/>
    <w:rsid w:val="00581C90"/>
    <w:rsid w:val="005B3E79"/>
    <w:rsid w:val="005E512A"/>
    <w:rsid w:val="006209B4"/>
    <w:rsid w:val="006A3BBB"/>
    <w:rsid w:val="006C247D"/>
    <w:rsid w:val="006C3A7E"/>
    <w:rsid w:val="006D60AD"/>
    <w:rsid w:val="006E08CA"/>
    <w:rsid w:val="00711487"/>
    <w:rsid w:val="007167F4"/>
    <w:rsid w:val="007238DA"/>
    <w:rsid w:val="00727DF5"/>
    <w:rsid w:val="007E7A3D"/>
    <w:rsid w:val="00806F5C"/>
    <w:rsid w:val="00810D5E"/>
    <w:rsid w:val="008A22EF"/>
    <w:rsid w:val="00917399"/>
    <w:rsid w:val="00942FBF"/>
    <w:rsid w:val="00960728"/>
    <w:rsid w:val="009853B8"/>
    <w:rsid w:val="009D0651"/>
    <w:rsid w:val="009E1C77"/>
    <w:rsid w:val="00A05B3E"/>
    <w:rsid w:val="00A2150C"/>
    <w:rsid w:val="00A31874"/>
    <w:rsid w:val="00A53648"/>
    <w:rsid w:val="00A57B5F"/>
    <w:rsid w:val="00A61929"/>
    <w:rsid w:val="00AC78EA"/>
    <w:rsid w:val="00B773C1"/>
    <w:rsid w:val="00B838DB"/>
    <w:rsid w:val="00BA79EA"/>
    <w:rsid w:val="00BC6719"/>
    <w:rsid w:val="00BF7534"/>
    <w:rsid w:val="00C61DD1"/>
    <w:rsid w:val="00C64D82"/>
    <w:rsid w:val="00C67689"/>
    <w:rsid w:val="00C93CCC"/>
    <w:rsid w:val="00CB487F"/>
    <w:rsid w:val="00CB7DD6"/>
    <w:rsid w:val="00CC1D41"/>
    <w:rsid w:val="00E1633F"/>
    <w:rsid w:val="00E81054"/>
    <w:rsid w:val="00F07165"/>
    <w:rsid w:val="00F14F53"/>
    <w:rsid w:val="00F15DB8"/>
    <w:rsid w:val="00FB41D6"/>
    <w:rsid w:val="00FE2F7A"/>
    <w:rsid w:val="03C944BD"/>
    <w:rsid w:val="03DF0857"/>
    <w:rsid w:val="0506114C"/>
    <w:rsid w:val="07AE34FA"/>
    <w:rsid w:val="0CDD14D6"/>
    <w:rsid w:val="13FF53F1"/>
    <w:rsid w:val="1B9A3A00"/>
    <w:rsid w:val="27670A98"/>
    <w:rsid w:val="401E4B9A"/>
    <w:rsid w:val="48F4664F"/>
    <w:rsid w:val="571D4F32"/>
    <w:rsid w:val="5CA50038"/>
    <w:rsid w:val="69AA3D6E"/>
    <w:rsid w:val="6D3E5958"/>
    <w:rsid w:val="7A7954C7"/>
    <w:rsid w:val="7F4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customStyle="1" w:styleId="9">
    <w:name w:val="Char Char Char Char"/>
    <w:basedOn w:val="2"/>
    <w:qFormat/>
    <w:uiPriority w:val="0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10">
    <w:name w:val="文档结构图 Char"/>
    <w:basedOn w:val="6"/>
    <w:link w:val="2"/>
    <w:semiHidden/>
    <w:qFormat/>
    <w:uiPriority w:val="99"/>
    <w:rPr>
      <w:rFonts w:ascii="宋体" w:hAnsi="Calibri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Char Char Char Char1"/>
    <w:basedOn w:val="2"/>
    <w:qFormat/>
    <w:uiPriority w:val="0"/>
    <w:pPr>
      <w:shd w:val="clear" w:color="auto" w:fill="000080"/>
    </w:pPr>
    <w:rPr>
      <w:rFonts w:ascii="Tahoma" w:hAnsi="Tahoma" w:cs="Tahom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303</Words>
  <Characters>1728</Characters>
  <Lines>14</Lines>
  <Paragraphs>4</Paragraphs>
  <TotalTime>0</TotalTime>
  <ScaleCrop>false</ScaleCrop>
  <LinksUpToDate>false</LinksUpToDate>
  <CharactersWithSpaces>2027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2019-06-25T00:37:00Z</dcterms:created>
  <dc:creator>白雪</dc:creator>
  <cp:lastModifiedBy>白雪(拟稿)</cp:lastModifiedBy>
  <dcterms:modified xsi:type="dcterms:W3CDTF">2021-05-08T09:15:56Z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