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??,Verdana" w:hAnsi="??,Verdana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</w:rPr>
        <w:t>柳州市气象局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lang w:eastAsia="zh-CN"/>
        </w:rPr>
        <w:t>202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</w:rPr>
        <w:t>年部门预算</w:t>
      </w:r>
    </w:p>
    <w:p>
      <w:pPr>
        <w:widowControl/>
        <w:snapToGrid w:val="0"/>
        <w:spacing w:line="560" w:lineRule="exact"/>
        <w:ind w:firstLine="630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第一部分：部门概况</w:t>
      </w:r>
    </w:p>
    <w:p>
      <w:pPr>
        <w:widowControl/>
        <w:snapToGrid w:val="0"/>
        <w:spacing w:line="560" w:lineRule="exact"/>
        <w:ind w:firstLine="664"/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</w:rPr>
        <w:t>一、单位概况</w:t>
      </w:r>
    </w:p>
    <w:p>
      <w:pPr>
        <w:widowControl/>
        <w:snapToGrid w:val="0"/>
        <w:spacing w:line="560" w:lineRule="exac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柳州市气象局成立于2003年，是受自治区气象局和柳州市政府双重领导的公益事业单位，实行双重财务体制。柳州市气象局为正处级单位，是柳州市气象主管机构，下辖柳江区、柳城、鹿寨、融水、融安、三江5县1区气象局和柳州市农业气象试验站，承担全市气象工作政府行政管理职能和气象预报服务、探测和防御气象灾害等任务。</w:t>
      </w:r>
    </w:p>
    <w:p>
      <w:pPr>
        <w:widowControl/>
        <w:snapToGrid w:val="0"/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24"/>
          <w:szCs w:val="24"/>
        </w:rPr>
        <w:t>二、人员构成情况</w:t>
      </w:r>
    </w:p>
    <w:p>
      <w:pPr>
        <w:widowControl/>
        <w:snapToGrid w:val="0"/>
        <w:spacing w:line="560" w:lineRule="exact"/>
        <w:ind w:firstLine="480" w:firstLineChars="200"/>
        <w:rPr>
          <w:rFonts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柳州市气象局人员编制81人，在编实有人员77人，其中参照公务员管理办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法进行管理的参公人员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人，事业编制管理人员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人，退休人员66人，长期聘用人员3人（技术人员3人）。柳州市气象局为公益事业单位，在编人员中以技术人员为主，正高级技术人员1人，副高级技术人员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人，中级技术人员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人，初级技术人员1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人。公益编制18人，在编实有人员1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人（技术人员</w:t>
      </w:r>
      <w:r>
        <w:rPr>
          <w:rFonts w:hint="default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人）。</w:t>
      </w:r>
    </w:p>
    <w:p>
      <w:pPr>
        <w:widowControl/>
        <w:snapToGrid w:val="0"/>
        <w:spacing w:line="420" w:lineRule="atLeast"/>
        <w:ind w:firstLine="63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第二部分：柳州市气象局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  <w:lang w:eastAsia="zh-CN"/>
        </w:rPr>
        <w:t>202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年部门预算报表</w:t>
      </w:r>
    </w:p>
    <w:p>
      <w:pPr>
        <w:widowControl/>
        <w:snapToGrid w:val="0"/>
        <w:spacing w:line="420" w:lineRule="atLeast"/>
        <w:ind w:firstLine="63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一、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val="en-US" w:eastAsia="zh-CN"/>
        </w:rPr>
        <w:t>部门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收支总体情况表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二、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val="en-US" w:eastAsia="zh-CN"/>
        </w:rPr>
        <w:t>部门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收入总体情况表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三、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val="en-US" w:eastAsia="zh-CN"/>
        </w:rPr>
        <w:t>部门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支出总体情况表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四、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财政拨款收支总体情况表</w:t>
      </w:r>
    </w:p>
    <w:p>
      <w:pPr>
        <w:widowControl/>
        <w:snapToGrid w:val="0"/>
        <w:spacing w:line="420" w:lineRule="atLeast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 xml:space="preserve">     五、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一般公共预算支出情况表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六、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一般公共预算基本支出情况表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七、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一般公共预算“三公”经费支出情况表</w:t>
      </w:r>
    </w:p>
    <w:p>
      <w:pPr>
        <w:widowControl/>
        <w:snapToGrid w:val="0"/>
        <w:spacing w:line="420" w:lineRule="atLeast"/>
        <w:ind w:firstLine="602" w:firstLineChars="250"/>
        <w:rPr>
          <w:rFonts w:hint="eastAsia" w:ascii="仿宋_GB2312" w:hAnsi="仿宋" w:eastAsia="仿宋_GB2312" w:cs="宋体"/>
          <w:b/>
          <w:color w:val="0000FF"/>
          <w:kern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八、政府性基金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val="en-US"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支出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情况表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上述报表详见附件。</w:t>
      </w:r>
    </w:p>
    <w:p>
      <w:pPr>
        <w:widowControl/>
        <w:spacing w:line="420" w:lineRule="atLeast"/>
        <w:jc w:val="center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第三部分：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  <w:lang w:eastAsia="zh-CN"/>
        </w:rPr>
        <w:t>202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年部门预算报表说明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一、部门收支预算情况说明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年收支总预算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98.63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13.47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年收入预算总数为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万元，全部为一般公共财政预算拨款；支出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万元，全部为自然资源海洋气象等支出。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二、部门收入预算情况说明</w:t>
      </w:r>
    </w:p>
    <w:p>
      <w:pPr>
        <w:spacing w:line="560" w:lineRule="exact"/>
        <w:ind w:firstLine="360" w:firstLineChars="150"/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年收入总预算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98.63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13.47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%。其中：一般公共财政预算拨款，占收入总预算100%，同比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98.63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13.47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年预算总体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的主要原因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更新人工影响天气作业车辆和火箭发射装置项目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经费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。 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三、部门支出预算情况说明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年支出总预算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万元，全部为一般公共财政预算拨款支出，全部为项目支出，同比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98.63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13.47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的主要原因与收入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原因相同。  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（一）按支出功能分类划分，总共一类，自然资源海洋气象等支出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万元，占支出预算100%，同比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98.63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13.47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</w:t>
      </w:r>
    </w:p>
    <w:p>
      <w:pPr>
        <w:spacing w:line="560" w:lineRule="exact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（二）按支出结构分类划分，分基本支出和项目支出预算。</w:t>
      </w:r>
    </w:p>
    <w:p>
      <w:pPr>
        <w:spacing w:line="560" w:lineRule="exact"/>
        <w:ind w:firstLine="120" w:firstLineChars="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1、基本支出预算。</w:t>
      </w:r>
    </w:p>
    <w:p>
      <w:pPr>
        <w:spacing w:line="560" w:lineRule="exact"/>
        <w:ind w:firstLine="120" w:firstLineChars="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年未安排基本支出预算。</w:t>
      </w:r>
    </w:p>
    <w:p>
      <w:pPr>
        <w:spacing w:line="560" w:lineRule="exact"/>
        <w:ind w:firstLine="120" w:firstLineChars="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2、项目支出预算。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</w:rPr>
        <w:t xml:space="preserve"> 项目支出预算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</w:rPr>
        <w:t>万元，占支出预算100%，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98.63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13.47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</w:rPr>
        <w:t>。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四、财政拨款收支情况说明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年财政拨款收支总预算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万元。收入全部为一般公共预算拨款，支出全部为自然资源海洋气象等支出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五、一般公共预算支出情况说明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年一般公共预算拨款支出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万元。其中：基本支出0万元，项目支出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万元。具体支出预算如下：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气象服务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830.97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项目支出。主要用于在职事业编制人员绩效工资、服务公益辅助岗人员经费、人工降雨业务经费、多普勒天气雷达专项运行费、风廓线雷达专项运行费、中尺度自动气象站专项运行费、气象预警大喇叭专项运行费、气象业务补助经费、公共气象服务信息发布维持费、防雷减灾工作运行维持费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、更新人工影响天气作业车辆和火箭发射装置项目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。</w:t>
      </w:r>
    </w:p>
    <w:p>
      <w:pPr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六、一般公共预算基本支出情况说明</w:t>
      </w:r>
    </w:p>
    <w:p>
      <w:pPr>
        <w:spacing w:line="560" w:lineRule="exac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年未安排一般公共预算基本支出预算。</w:t>
      </w:r>
    </w:p>
    <w:p>
      <w:pPr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七、一般公共预算“三公”经费情况说明</w:t>
      </w:r>
    </w:p>
    <w:p>
      <w:pPr>
        <w:widowControl/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（一）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年部门预算全口径安排的“三公”经费预算情况。</w:t>
      </w:r>
    </w:p>
    <w:p>
      <w:pPr>
        <w:widowControl/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年部门预算共安排“三公”经费支出预算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万元（全口径），其中：因公出国（境）经费支出预算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万元，公务接待费支出预算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万元，公务用车购置费支出预算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万元，公务用车运行维护费支出预算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</w:t>
      </w:r>
    </w:p>
    <w:p>
      <w:pPr>
        <w:widowControl/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（二）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年一般公共预算资金安排的“三公”经费预算情况。</w:t>
      </w:r>
    </w:p>
    <w:p>
      <w:pPr>
        <w:widowControl/>
        <w:spacing w:line="560" w:lineRule="exact"/>
        <w:ind w:firstLine="360" w:firstLineChars="150"/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年一般公共预算资金安排的“三公”经费支出预算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八、政府性基金预算情况说明</w:t>
      </w:r>
    </w:p>
    <w:p>
      <w:pPr>
        <w:spacing w:line="560" w:lineRule="exact"/>
        <w:ind w:firstLine="360" w:firstLineChars="150"/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2022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年没有使用政府性基金预算拨款安排支出。</w:t>
      </w:r>
    </w:p>
    <w:p>
      <w:pPr>
        <w:spacing w:line="560" w:lineRule="exac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AA3"/>
    <w:rsid w:val="00025A10"/>
    <w:rsid w:val="000346BD"/>
    <w:rsid w:val="0004202A"/>
    <w:rsid w:val="00055DC6"/>
    <w:rsid w:val="00065D2D"/>
    <w:rsid w:val="000C7967"/>
    <w:rsid w:val="000E6406"/>
    <w:rsid w:val="00135F16"/>
    <w:rsid w:val="001F6F2B"/>
    <w:rsid w:val="00204FB0"/>
    <w:rsid w:val="00265587"/>
    <w:rsid w:val="0029467C"/>
    <w:rsid w:val="002E0A12"/>
    <w:rsid w:val="00312AA3"/>
    <w:rsid w:val="00371AFE"/>
    <w:rsid w:val="00373FBD"/>
    <w:rsid w:val="0037502F"/>
    <w:rsid w:val="003E2509"/>
    <w:rsid w:val="003F34EE"/>
    <w:rsid w:val="004779B2"/>
    <w:rsid w:val="00484874"/>
    <w:rsid w:val="004E2B63"/>
    <w:rsid w:val="004F0FEF"/>
    <w:rsid w:val="00581C90"/>
    <w:rsid w:val="005B3E79"/>
    <w:rsid w:val="005E512A"/>
    <w:rsid w:val="006209B4"/>
    <w:rsid w:val="006A3BBB"/>
    <w:rsid w:val="006C247D"/>
    <w:rsid w:val="006C3A7E"/>
    <w:rsid w:val="006D60AD"/>
    <w:rsid w:val="006E08CA"/>
    <w:rsid w:val="00711487"/>
    <w:rsid w:val="007167F4"/>
    <w:rsid w:val="007238DA"/>
    <w:rsid w:val="00727DF5"/>
    <w:rsid w:val="007E7A3D"/>
    <w:rsid w:val="00806F5C"/>
    <w:rsid w:val="00810D5E"/>
    <w:rsid w:val="008A22EF"/>
    <w:rsid w:val="00917399"/>
    <w:rsid w:val="00942FBF"/>
    <w:rsid w:val="00960728"/>
    <w:rsid w:val="009853B8"/>
    <w:rsid w:val="009D0651"/>
    <w:rsid w:val="009E1C77"/>
    <w:rsid w:val="00A05B3E"/>
    <w:rsid w:val="00A2150C"/>
    <w:rsid w:val="00A31874"/>
    <w:rsid w:val="00A53648"/>
    <w:rsid w:val="00A57B5F"/>
    <w:rsid w:val="00A61929"/>
    <w:rsid w:val="00AC78EA"/>
    <w:rsid w:val="00B773C1"/>
    <w:rsid w:val="00B838DB"/>
    <w:rsid w:val="00BA79EA"/>
    <w:rsid w:val="00BC6719"/>
    <w:rsid w:val="00BF7534"/>
    <w:rsid w:val="00C61DD1"/>
    <w:rsid w:val="00C64D82"/>
    <w:rsid w:val="00C67689"/>
    <w:rsid w:val="00C93CCC"/>
    <w:rsid w:val="00CB487F"/>
    <w:rsid w:val="00CB7DD6"/>
    <w:rsid w:val="00CC1D41"/>
    <w:rsid w:val="00E1633F"/>
    <w:rsid w:val="00E81054"/>
    <w:rsid w:val="00F07165"/>
    <w:rsid w:val="00F14F53"/>
    <w:rsid w:val="00F15DB8"/>
    <w:rsid w:val="00FB41D6"/>
    <w:rsid w:val="00FE2F7A"/>
    <w:rsid w:val="03C944BD"/>
    <w:rsid w:val="03DF0857"/>
    <w:rsid w:val="0506114C"/>
    <w:rsid w:val="07AE34FA"/>
    <w:rsid w:val="07FF3A37"/>
    <w:rsid w:val="0CDD14D6"/>
    <w:rsid w:val="13B56F76"/>
    <w:rsid w:val="13FF53F1"/>
    <w:rsid w:val="177F3273"/>
    <w:rsid w:val="19C60994"/>
    <w:rsid w:val="19CF2AF5"/>
    <w:rsid w:val="1B9A3A00"/>
    <w:rsid w:val="1C4F2417"/>
    <w:rsid w:val="225051C4"/>
    <w:rsid w:val="27670A98"/>
    <w:rsid w:val="34A97C98"/>
    <w:rsid w:val="3E0B50C2"/>
    <w:rsid w:val="3E295549"/>
    <w:rsid w:val="401E4B9A"/>
    <w:rsid w:val="48F4664F"/>
    <w:rsid w:val="4F824AB9"/>
    <w:rsid w:val="52554B04"/>
    <w:rsid w:val="53797EAF"/>
    <w:rsid w:val="571D4F32"/>
    <w:rsid w:val="5CA50038"/>
    <w:rsid w:val="5E324E7C"/>
    <w:rsid w:val="68A33018"/>
    <w:rsid w:val="69AA3D6E"/>
    <w:rsid w:val="6BE61C4E"/>
    <w:rsid w:val="6CA15CEB"/>
    <w:rsid w:val="6D3E5958"/>
    <w:rsid w:val="71600CA6"/>
    <w:rsid w:val="77AE0F5E"/>
    <w:rsid w:val="7A7954C7"/>
    <w:rsid w:val="7ABC0E76"/>
    <w:rsid w:val="7C9403AA"/>
    <w:rsid w:val="7F4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 Char Char"/>
    <w:basedOn w:val="2"/>
    <w:qFormat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0">
    <w:name w:val="文档结构图 Char"/>
    <w:basedOn w:val="6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Char Char Char Char1"/>
    <w:basedOn w:val="2"/>
    <w:qFormat/>
    <w:uiPriority w:val="0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1457</Words>
  <Characters>1645</Characters>
  <Lines>14</Lines>
  <Paragraphs>4</Paragraphs>
  <TotalTime>0</TotalTime>
  <ScaleCrop>false</ScaleCrop>
  <LinksUpToDate>false</LinksUpToDate>
  <CharactersWithSpaces>1666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2019-06-25T00:37:00Z</dcterms:created>
  <dc:creator>白雪</dc:creator>
  <cp:lastModifiedBy>白雪</cp:lastModifiedBy>
  <dcterms:modified xsi:type="dcterms:W3CDTF">2022-05-16T08:55:24Z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C29E399F0AEE40229F937513A53F421F</vt:lpwstr>
  </property>
</Properties>
</file>